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D510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Pada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Selasa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tanggal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00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Maret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2019,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bertanda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bawah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Nama : Bp.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Pekerjaan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Wiraswasta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Jabatan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Alamat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Nomor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KTP :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Telp. : 08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bertindak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Nama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perusahaan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NPWP :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xx.xxx.xxx.x.xxx.xxx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Alamat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Selanjutnya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PIHAK PERTAMA.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Nama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Pekerjaan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Alamat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Nomor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KTP :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Telp. : 0852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xxxx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6EAD703F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</w:pPr>
      <w:proofErr w:type="spellStart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>Selanjutnya</w:t>
      </w:r>
      <w:proofErr w:type="spellEnd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 xml:space="preserve"> </w:t>
      </w:r>
      <w:proofErr w:type="spellStart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>disebut</w:t>
      </w:r>
      <w:proofErr w:type="spellEnd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 xml:space="preserve"> PIHAK KEDUA</w:t>
      </w:r>
    </w:p>
    <w:p w14:paraId="0EB80BE4" w14:textId="77777777" w:rsidR="002C04E6" w:rsidRPr="002C04E6" w:rsidRDefault="002C04E6" w:rsidP="002C04E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menerangkan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bahwa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selaku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pemilik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setuju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menyewakan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setuju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berupa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1.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Jenis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–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2.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Merek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/Type : –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3.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Tahun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pembuatan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–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4.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Nomor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Polisi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:-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5.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Nomor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rangka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–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6.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Nomor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mesin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–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7.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Warna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–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8.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Kondisi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barang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Sangat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Baik</w:t>
      </w:r>
      <w:proofErr w:type="spellEnd"/>
    </w:p>
    <w:p w14:paraId="45ACD12A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</w:pPr>
      <w:proofErr w:type="spellStart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>Untuk</w:t>
      </w:r>
      <w:proofErr w:type="spellEnd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 xml:space="preserve"> </w:t>
      </w:r>
      <w:proofErr w:type="spellStart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>selanjutnya</w:t>
      </w:r>
      <w:proofErr w:type="spellEnd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 xml:space="preserve"> </w:t>
      </w:r>
      <w:proofErr w:type="spellStart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>disebut</w:t>
      </w:r>
      <w:proofErr w:type="spellEnd"/>
      <w:r w:rsidRPr="002C04E6">
        <w:rPr>
          <w:rFonts w:ascii="Arial" w:eastAsia="Times New Roman" w:hAnsi="Arial" w:cs="Arial"/>
          <w:b/>
          <w:bCs/>
          <w:i/>
          <w:iCs/>
          <w:color w:val="575757"/>
          <w:sz w:val="20"/>
          <w:szCs w:val="20"/>
        </w:rPr>
        <w:t xml:space="preserve"> KENDARAAN.</w:t>
      </w:r>
    </w:p>
    <w:p w14:paraId="11E11FF6" w14:textId="77777777" w:rsidR="002C04E6" w:rsidRPr="002C04E6" w:rsidRDefault="002C04E6" w:rsidP="002C04E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Selanjutnya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bersepakat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bahwa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sewa-menyewa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antara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berlaku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sejak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tanggal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penandatanganan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surat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dimana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syarat-syarat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serta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ketentuan-ketentuan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surat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diatur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12 (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pasal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sebagai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berikut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:</w:t>
      </w:r>
    </w:p>
    <w:p w14:paraId="0493E2D5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1.</w:t>
      </w:r>
    </w:p>
    <w:p w14:paraId="3871BD47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MASA BERLAKUNYA PERJANJIAN SEWA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7E771399" w14:textId="77777777" w:rsidR="002C04E6" w:rsidRPr="002C04E6" w:rsidRDefault="002C04E6" w:rsidP="002C04E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</w:p>
    <w:p w14:paraId="3937C75F" w14:textId="77777777" w:rsidR="002C04E6" w:rsidRPr="002C04E6" w:rsidRDefault="002C04E6" w:rsidP="002C04E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lastRenderedPageBreak/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Sewa-menyewa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dilangsungkandan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diterima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waktu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30 (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tiga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puluh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terhitung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sejak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tanggal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(00 Mei 20xx)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berakhir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pada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tanggal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(0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Juni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20xx).</w:t>
      </w:r>
    </w:p>
    <w:p w14:paraId="2BE86BD8" w14:textId="77777777" w:rsidR="002C04E6" w:rsidRPr="002C04E6" w:rsidRDefault="002C04E6" w:rsidP="002C04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Setelah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waktu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lampau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sewa-menyewa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diperpanjang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waktu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syarat-syarat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serta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ketentuan-ketentuan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ditentukan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Surat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tersendiri</w:t>
      </w:r>
      <w:proofErr w:type="spellEnd"/>
    </w:p>
    <w:p w14:paraId="0E7DF944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PASAL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HARGA SEWA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11D0573C" w14:textId="77777777" w:rsidR="002C04E6" w:rsidRPr="002C04E6" w:rsidRDefault="002C04E6" w:rsidP="002C0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Harga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seluruh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waktu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berjumlah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Rp.6.000.000,00 (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Enam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Juta Rupiah)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keseluruhannya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dibayarkan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secara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sekaligus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bersamaan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penandatanganan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Surat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00AF4EC0" w14:textId="77777777" w:rsidR="002C04E6" w:rsidRPr="002C04E6" w:rsidRDefault="002C04E6" w:rsidP="002C0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Surat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berlaku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sebagai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bukti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pelunasan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sejumlah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uang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dimaksud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606CC6D5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3</w:t>
      </w:r>
    </w:p>
    <w:p w14:paraId="4814C43A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KETENTUAN-KETENTUAN KHUSUS.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5FB8CB1F" w14:textId="77777777" w:rsidR="002C04E6" w:rsidRPr="002C04E6" w:rsidRDefault="002C04E6" w:rsidP="002C04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Sebelum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waktu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sewa-menyewa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seperti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tertulis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pada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pasal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1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(1) Surat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berakhir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sekali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dibenarkan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meminta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mengakhiri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jangka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waktu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kontrak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pun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menyerahkan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kembali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kecuali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terdapat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kesepakatan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antara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4F554D3C" w14:textId="77777777" w:rsidR="002C04E6" w:rsidRPr="002C04E6" w:rsidRDefault="002C04E6" w:rsidP="002C04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persewaan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diperbolehkan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memungut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uang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tambahan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lagi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alasan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dalih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pun juga.</w:t>
      </w:r>
    </w:p>
    <w:p w14:paraId="1680E2FF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4.</w:t>
      </w:r>
    </w:p>
    <w:p w14:paraId="69910F33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PENYERAHAN KENDARAAN.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menyerahkan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setelah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ditandatanganinya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Surat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berikut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Surat Tanda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Nomor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(STNK)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dimaksud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7D010B10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lastRenderedPageBreak/>
        <w:t>PASAL 5.</w:t>
      </w:r>
    </w:p>
    <w:p w14:paraId="2C126877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HAK DAN TANGGUNG JAWAB PIHAK PERTAMA.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593E5640" w14:textId="77777777" w:rsidR="002C04E6" w:rsidRPr="002C04E6" w:rsidRDefault="002C04E6" w:rsidP="002C04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sepenuhnya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menggunakan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KENDARAAN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disewanya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477FB7DB" w14:textId="77777777" w:rsidR="002C04E6" w:rsidRPr="002C04E6" w:rsidRDefault="002C04E6" w:rsidP="002C04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Mengingat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dipegang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oleh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sebagai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karenanya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bertanggung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jawab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penuh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merawat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menjaga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keutuhan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serta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kebaikan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kondisi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sebaik-baiknya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biaya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sendiri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09BD27E6" w14:textId="77777777" w:rsidR="002C04E6" w:rsidRPr="002C04E6" w:rsidRDefault="002C04E6" w:rsidP="002C04E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</w:p>
    <w:p w14:paraId="38B06624" w14:textId="77777777" w:rsidR="002C04E6" w:rsidRPr="002C04E6" w:rsidRDefault="002C04E6" w:rsidP="002C04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3.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Apabila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sewa-menyewa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berakhir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wajib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menyerahkan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kembali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keadaan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jalan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terawat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baik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kondisinya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lengkap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seperti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ketika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menerimanya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624B46C5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6.</w:t>
      </w:r>
    </w:p>
    <w:p w14:paraId="7CE6EFA5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LARANGAN-LARANGAN.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4284855A" w14:textId="77777777" w:rsidR="002C04E6" w:rsidRPr="002C04E6" w:rsidRDefault="002C04E6" w:rsidP="002C04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Status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kepemilikan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sepenuhnya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hingga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dilarang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melakukan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perbuatan-perbuatan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bertujuan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memindah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tangankan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kepemilikannya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seperti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menjual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menggadaikan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memindahtangankan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melakukan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perbuatan-perbuatan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lain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bertujuan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memindah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tangankan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kepemilikannya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70FCA3A3" w14:textId="77777777" w:rsidR="002C04E6" w:rsidRPr="002C04E6" w:rsidRDefault="002C04E6" w:rsidP="002C04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Pelanggaran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(1)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merupakan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tindak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pidana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sesuai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Pasal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372 Kitab.</w:t>
      </w:r>
    </w:p>
    <w:p w14:paraId="271E8B2B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PASAL 7.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KERUSAKAN DAN KEHILANGAN.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59CDBA46" w14:textId="77777777" w:rsidR="002C04E6" w:rsidRPr="002C04E6" w:rsidRDefault="002C04E6" w:rsidP="002C04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Apabila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terjadi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kerusakan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pada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diharuskan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memperbaiki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mengeluarkan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ongkos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biaya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kerusakan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sehubungan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pemakaiannya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446FFE79" w14:textId="77777777" w:rsidR="002C04E6" w:rsidRPr="002C04E6" w:rsidRDefault="002C04E6" w:rsidP="002C04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diwajibkan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mengganti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onderdil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(spare part)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lastRenderedPageBreak/>
        <w:t xml:space="preserve">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rusak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akibat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pemakaian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menyebabkan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spare part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digunakan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lagi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sparepart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17824924" w14:textId="77777777" w:rsidR="002C04E6" w:rsidRPr="002C04E6" w:rsidRDefault="002C04E6" w:rsidP="002C04E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3.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dibebaskan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segal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ganti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rugi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tuntutan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akibat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kerusakan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pada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diakibatkan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oleh force majeure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dimaksud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force majeure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adalah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: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1.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bencana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seperti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banjir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gempa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bumi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longsor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petir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angin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topan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serta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kebakaran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disebabkan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oleh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faktor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ekstern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mengganggu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kelangsungan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2.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huru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-hara,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kerusuhan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pemberontakan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7C3CB41B" w14:textId="77777777" w:rsidR="002C04E6" w:rsidRPr="002C04E6" w:rsidRDefault="002C04E6" w:rsidP="002C04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</w:p>
    <w:p w14:paraId="3FD65B55" w14:textId="77777777" w:rsidR="002C04E6" w:rsidRPr="002C04E6" w:rsidRDefault="002C04E6" w:rsidP="002C04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4.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Apabila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terjadi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kehilangan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karena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kelalaian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sendiri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diharuskan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mengganti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sejenis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tahun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pembuatan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kondisi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sesuai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sebanding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disewanya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1D7A9888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8.</w:t>
      </w:r>
    </w:p>
    <w:p w14:paraId="033A6C48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PEMBATALAN.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7358B595" w14:textId="77777777" w:rsidR="002C04E6" w:rsidRPr="002C04E6" w:rsidRDefault="002C04E6" w:rsidP="002C04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Apabila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melakukan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pelanggaran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mentaati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minta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dibatalkan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2D3B1483" w14:textId="77777777" w:rsidR="002C04E6" w:rsidRPr="002C04E6" w:rsidRDefault="002C04E6" w:rsidP="002C04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diharuskan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memberitahukan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pembatalan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secara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tertulis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diwajibkan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menyerahkan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kembali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disewanya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selambat-lambatnya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1 (Satu)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setelah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dibatalkan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4E8EA80D" w14:textId="77777777" w:rsidR="002C04E6" w:rsidRPr="002C04E6" w:rsidRDefault="002C04E6" w:rsidP="002C04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3.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memberi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kuasa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penuh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kuasanya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substitusi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mengambil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milik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baik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tempat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tempat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lain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mendapat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padanya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51D1D8FB" w14:textId="77777777" w:rsidR="002C04E6" w:rsidRPr="002C04E6" w:rsidRDefault="002C04E6" w:rsidP="002C04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4.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meminta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bantuan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berwajib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menarik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kembali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segala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biaya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pengambilan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kendaraan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tersebut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sepenuhnya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menjadi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beban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tanggung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jawab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7A7E025A" w14:textId="77777777" w:rsidR="002C04E6" w:rsidRPr="002C04E6" w:rsidRDefault="002C04E6" w:rsidP="002C04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</w:p>
    <w:p w14:paraId="4F2D297C" w14:textId="77777777" w:rsidR="002C04E6" w:rsidRPr="002C04E6" w:rsidRDefault="002C04E6" w:rsidP="002C04E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lastRenderedPageBreak/>
        <w:t>Ayat 5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membebaskan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tuntutan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kerugian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pembatalan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129D5E61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9.</w:t>
      </w:r>
    </w:p>
    <w:p w14:paraId="3A3A6B08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PELANGGARAN DARI PIHAK KEDUA.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</w:p>
    <w:p w14:paraId="6E28E9CB" w14:textId="77777777" w:rsidR="002C04E6" w:rsidRPr="002C04E6" w:rsidRDefault="002C04E6" w:rsidP="002C04E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1.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Apabila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melakukan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pelanggaran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mentaati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maka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wajib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memberikan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membayar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ganti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rugi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kepada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329E136C" w14:textId="77777777" w:rsidR="002C04E6" w:rsidRPr="002C04E6" w:rsidRDefault="002C04E6" w:rsidP="002C04E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 2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Besarnya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ganti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rugi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sesuai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ayat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(1) di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atas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ditetapkan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oleh 2 (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) orang arbiter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terdiri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dari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seorang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arbiter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ditunjuk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seorang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arbiter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ditunjuk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755BE7AE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10.</w:t>
      </w:r>
    </w:p>
    <w:p w14:paraId="61D3E90F" w14:textId="77777777" w:rsidR="002C04E6" w:rsidRPr="002C04E6" w:rsidRDefault="002C04E6" w:rsidP="002C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LAIN-LAIN.</w:t>
      </w:r>
    </w:p>
    <w:p w14:paraId="19A0BF31" w14:textId="77777777" w:rsidR="002C04E6" w:rsidRPr="002C04E6" w:rsidRDefault="002C04E6" w:rsidP="002C04E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Hal-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belum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tercantum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dalam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diselesaikan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secara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kekeluargaan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musyawarah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mufakat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oleh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46D36D01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11</w:t>
      </w:r>
    </w:p>
    <w:p w14:paraId="38098DAA" w14:textId="77777777" w:rsidR="002C04E6" w:rsidRPr="002C04E6" w:rsidRDefault="002C04E6" w:rsidP="002C04E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PENYELESAIAN PERSELISIHAN.</w:t>
      </w:r>
    </w:p>
    <w:p w14:paraId="618C857A" w14:textId="77777777" w:rsidR="002C04E6" w:rsidRPr="002C04E6" w:rsidRDefault="002C04E6" w:rsidP="002C04E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Apabila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terjadi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perselisihan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tidak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bisa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diselesaikan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secara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kekeluargaan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atau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musyawarah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mufakat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,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bersepakat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menyelesaikannya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secara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hukum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sepakat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untuk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memilih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tempat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tinggal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umumdan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tetap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di Kantor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Kepaniteraan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Pengadilan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Negeri _______.</w:t>
      </w:r>
    </w:p>
    <w:p w14:paraId="66E9878A" w14:textId="77777777" w:rsidR="002C04E6" w:rsidRPr="002C04E6" w:rsidRDefault="002C04E6" w:rsidP="002C04E6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</w:pPr>
      <w:r w:rsidRPr="002C04E6">
        <w:rPr>
          <w:rFonts w:ascii="Arial" w:eastAsia="Times New Roman" w:hAnsi="Arial" w:cs="Arial"/>
          <w:b/>
          <w:bCs/>
          <w:i/>
          <w:iCs/>
          <w:color w:val="575757"/>
          <w:sz w:val="15"/>
          <w:szCs w:val="15"/>
        </w:rPr>
        <w:t>PASAL 12.</w:t>
      </w:r>
    </w:p>
    <w:p w14:paraId="28019A64" w14:textId="77777777" w:rsidR="002C04E6" w:rsidRPr="002C04E6" w:rsidRDefault="002C04E6" w:rsidP="002C04E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75757"/>
          <w:sz w:val="26"/>
          <w:szCs w:val="26"/>
        </w:rPr>
      </w:pP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PENUTUP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 xml:space="preserve">Surat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perjanjian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ini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dibuat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rangkap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2 (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)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dengan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dibubuhi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materai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secukupnya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berkekuatan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hukum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yang masing-masing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dipegang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dan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mulai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berlaku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sejak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ditandatangani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belah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.</w:t>
      </w:r>
    </w:p>
    <w:p w14:paraId="29F9085E" w14:textId="608CBF53" w:rsidR="0088220C" w:rsidRDefault="002C04E6" w:rsidP="002C04E6"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_________, 0 Mei 20xx</w:t>
      </w:r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Pertama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Pihak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 xml:space="preserve"> </w:t>
      </w:r>
      <w:proofErr w:type="spellStart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t>Kedua</w:t>
      </w:r>
      <w:proofErr w:type="spellEnd"/>
      <w:r w:rsidRPr="002C04E6">
        <w:rPr>
          <w:rFonts w:ascii="Arial" w:eastAsia="Times New Roman" w:hAnsi="Arial" w:cs="Arial"/>
          <w:i/>
          <w:iCs/>
          <w:color w:val="575757"/>
          <w:sz w:val="26"/>
          <w:szCs w:val="26"/>
        </w:rPr>
        <w:br/>
        <w:t>Bp. xxx</w:t>
      </w:r>
    </w:p>
    <w:sectPr w:rsidR="0088220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176"/>
    <w:multiLevelType w:val="multilevel"/>
    <w:tmpl w:val="51E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60B1D"/>
    <w:multiLevelType w:val="multilevel"/>
    <w:tmpl w:val="32E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042AE"/>
    <w:multiLevelType w:val="multilevel"/>
    <w:tmpl w:val="B5A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CBD"/>
    <w:multiLevelType w:val="multilevel"/>
    <w:tmpl w:val="7BF2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B3DF7"/>
    <w:multiLevelType w:val="multilevel"/>
    <w:tmpl w:val="F90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64F11"/>
    <w:multiLevelType w:val="multilevel"/>
    <w:tmpl w:val="21E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C764B"/>
    <w:multiLevelType w:val="multilevel"/>
    <w:tmpl w:val="C76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95CF3"/>
    <w:multiLevelType w:val="multilevel"/>
    <w:tmpl w:val="38C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5E1"/>
    <w:multiLevelType w:val="multilevel"/>
    <w:tmpl w:val="6B8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F2021"/>
    <w:multiLevelType w:val="multilevel"/>
    <w:tmpl w:val="A1E4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23510"/>
    <w:multiLevelType w:val="multilevel"/>
    <w:tmpl w:val="D59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8730B"/>
    <w:multiLevelType w:val="multilevel"/>
    <w:tmpl w:val="943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45E38"/>
    <w:multiLevelType w:val="multilevel"/>
    <w:tmpl w:val="C65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0032A"/>
    <w:multiLevelType w:val="multilevel"/>
    <w:tmpl w:val="40E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E6"/>
    <w:rsid w:val="002C04E6"/>
    <w:rsid w:val="0088220C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C702"/>
  <w15:chartTrackingRefBased/>
  <w15:docId w15:val="{6682AB7D-A10B-4404-88AC-96C124B9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04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C04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04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C04E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z-toc-section">
    <w:name w:val="ez-toc-section"/>
    <w:basedOn w:val="DefaultParagraphFont"/>
    <w:rsid w:val="002C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2020-09-08T03:04:00Z</dcterms:created>
  <dcterms:modified xsi:type="dcterms:W3CDTF">2020-09-08T03:04:00Z</dcterms:modified>
</cp:coreProperties>
</file>